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Пояснительная записка к прогнозу социально-экономического развития Красноярского сельского поселения</w:t>
      </w:r>
    </w:p>
    <w:p>
      <w:pPr>
        <w:pStyle w:val="Normal"/>
        <w:shd w:fill="FFFFFF" w:val="clear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2023 </w:t>
      </w:r>
      <w:r>
        <w:rPr>
          <w:color w:val="000000"/>
          <w:sz w:val="28"/>
          <w:szCs w:val="28"/>
        </w:rPr>
        <w:t>год и на период до 2025 года</w:t>
      </w:r>
    </w:p>
    <w:p>
      <w:pPr>
        <w:pStyle w:val="Normal"/>
        <w:shd w:fill="FFFFFF" w:val="clear"/>
        <w:ind w:firstLine="62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 соответствии с требованиями бюджетного законодательства, </w:t>
      </w:r>
      <w:r>
        <w:rPr>
          <w:color w:val="000000"/>
          <w:spacing w:val="2"/>
          <w:sz w:val="28"/>
          <w:szCs w:val="28"/>
        </w:rPr>
        <w:t xml:space="preserve">разработан прогноз социально-экономического развития </w:t>
      </w:r>
      <w:r>
        <w:rPr>
          <w:spacing w:val="-1"/>
          <w:sz w:val="28"/>
          <w:szCs w:val="28"/>
        </w:rPr>
        <w:t>Красноярского сельского поселения</w:t>
      </w:r>
      <w:r>
        <w:rPr>
          <w:color w:val="000000"/>
          <w:sz w:val="28"/>
          <w:szCs w:val="28"/>
        </w:rPr>
        <w:t xml:space="preserve"> на 2023 год и на период до 2025 года.</w:t>
      </w:r>
    </w:p>
    <w:p>
      <w:pPr>
        <w:pStyle w:val="Normal"/>
        <w:ind w:firstLine="624"/>
        <w:jc w:val="both"/>
        <w:rPr/>
      </w:pP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Трехлетний прогноз социально-экономического развития Красноярского сельского поселения предусматривает </w:t>
      </w:r>
      <w:r>
        <w:rPr>
          <w:sz w:val="28"/>
          <w:szCs w:val="28"/>
        </w:rPr>
        <w:t>повышение благосостояния жителей Красноярского сельского поселения на основе стабильного развития экономики, проведения активной инновационной и инвестиционной политики, увеличение доходов местного бюджета и рациональное их расходование.</w:t>
      </w:r>
    </w:p>
    <w:p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Прогноз социально-экономического развития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Красноярского сельского поселения</w:t>
      </w:r>
      <w:r>
        <w:rPr>
          <w:rFonts w:cs="Times New Roman" w:ascii="Times New Roman" w:hAnsi="Times New Roman"/>
          <w:sz w:val="28"/>
          <w:szCs w:val="28"/>
        </w:rPr>
        <w:t xml:space="preserve"> на 2023 и на период до 2025 года разработан на основе индикаторов эффективности Муниципальной программы "Развитие социально–экономического потенциала Красноярского сельского поселения Большереченского муниципального района Омской области до 2027 года", в структуре которой разработаны следующие подпрограммы:</w:t>
      </w:r>
    </w:p>
    <w:p>
      <w:pPr>
        <w:pStyle w:val="ConsPlusCell"/>
        <w:ind w:firstLine="48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Повышение эффективности деятельности Администрации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Красноярского сельского поселения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 управление муниципальным имуществом;</w:t>
      </w:r>
    </w:p>
    <w:p>
      <w:pPr>
        <w:pStyle w:val="ConsPlusCell"/>
        <w:ind w:firstLine="48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Защиты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Красноярском сельском поселении;</w:t>
      </w:r>
    </w:p>
    <w:p>
      <w:pPr>
        <w:pStyle w:val="ConsPlusCell"/>
        <w:ind w:left="48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Содействие занятости населения;</w:t>
      </w:r>
    </w:p>
    <w:p>
      <w:pPr>
        <w:pStyle w:val="ConsPlusCell"/>
        <w:ind w:left="48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Повышение безопасности дорожного движения;</w:t>
      </w:r>
    </w:p>
    <w:p>
      <w:pPr>
        <w:pStyle w:val="ConsPlusCell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Благоустройство территории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поселения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3"/>
        <w:tabs>
          <w:tab w:val="left" w:pos="480" w:leader="none"/>
        </w:tabs>
        <w:spacing w:lineRule="auto" w:line="240"/>
        <w:ind w:left="0" w:hanging="0"/>
        <w:rPr>
          <w:szCs w:val="28"/>
        </w:rPr>
      </w:pPr>
      <w:r>
        <w:rPr>
          <w:szCs w:val="28"/>
        </w:rPr>
        <w:tab/>
        <w:t xml:space="preserve">6. Развитие культуры </w:t>
      </w:r>
      <w:r>
        <w:rPr>
          <w:color w:val="000000"/>
          <w:spacing w:val="4"/>
          <w:szCs w:val="28"/>
        </w:rPr>
        <w:t>Красноярского сельского поселения;</w:t>
      </w:r>
    </w:p>
    <w:p>
      <w:pPr>
        <w:pStyle w:val="3"/>
        <w:tabs>
          <w:tab w:val="left" w:pos="480" w:leader="none"/>
        </w:tabs>
        <w:spacing w:lineRule="auto" w:line="240"/>
        <w:ind w:left="0" w:hanging="0"/>
        <w:rPr/>
      </w:pPr>
      <w:r>
        <w:rPr>
          <w:szCs w:val="28"/>
        </w:rPr>
        <w:tab/>
        <w:t xml:space="preserve">7.Развитие физической культуры и спорта, молодежной политики </w:t>
      </w:r>
      <w:r>
        <w:rPr>
          <w:color w:val="000000"/>
          <w:spacing w:val="4"/>
          <w:szCs w:val="28"/>
        </w:rPr>
        <w:t>Красноярского сельского поселения</w:t>
      </w:r>
      <w:r>
        <w:rPr>
          <w:szCs w:val="28"/>
        </w:rPr>
        <w:t>;</w:t>
      </w:r>
    </w:p>
    <w:p>
      <w:pPr>
        <w:pStyle w:val="3"/>
        <w:tabs>
          <w:tab w:val="left" w:pos="480" w:leader="none"/>
        </w:tabs>
        <w:spacing w:lineRule="auto" w:line="240"/>
        <w:ind w:left="0" w:hanging="0"/>
        <w:rPr/>
      </w:pPr>
      <w:r>
        <w:rPr>
          <w:szCs w:val="28"/>
        </w:rPr>
        <w:t xml:space="preserve">       </w:t>
      </w:r>
      <w:r>
        <w:rPr>
          <w:szCs w:val="28"/>
        </w:rPr>
        <w:t>8.  Развитие жилищно-коммунального комплекса;</w:t>
      </w:r>
    </w:p>
    <w:p>
      <w:pPr>
        <w:pStyle w:val="3"/>
        <w:tabs>
          <w:tab w:val="left" w:pos="480" w:leader="none"/>
        </w:tabs>
        <w:spacing w:lineRule="auto" w:line="240"/>
        <w:ind w:left="0" w:hanging="0"/>
        <w:rPr>
          <w:szCs w:val="28"/>
        </w:rPr>
      </w:pPr>
      <w:r>
        <w:rPr>
          <w:szCs w:val="28"/>
        </w:rPr>
        <w:tab/>
        <w:t>9. Повышение энергетической эффективности и сокращение    энергетических издержек Красноярского сельского поселения.</w:t>
      </w:r>
    </w:p>
    <w:p>
      <w:pPr>
        <w:pStyle w:val="3"/>
        <w:tabs>
          <w:tab w:val="left" w:pos="480" w:leader="none"/>
        </w:tabs>
        <w:spacing w:lineRule="auto" w:line="240"/>
        <w:ind w:left="0" w:hanging="0"/>
        <w:rPr/>
      </w:pPr>
      <w:r>
        <w:rPr>
          <w:color w:val="000000"/>
          <w:spacing w:val="4"/>
          <w:szCs w:val="28"/>
        </w:rPr>
        <w:t xml:space="preserve">     </w:t>
      </w:r>
      <w:r>
        <w:rPr>
          <w:color w:val="000000"/>
          <w:spacing w:val="4"/>
          <w:szCs w:val="28"/>
        </w:rPr>
        <w:tab/>
        <w:t>Цель Муниципальной программы Красноярского сельского поселения:</w:t>
      </w:r>
    </w:p>
    <w:p>
      <w:pPr>
        <w:pStyle w:val="ConsPlusCell"/>
        <w:jc w:val="center"/>
        <w:rPr/>
      </w:pP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 xml:space="preserve">–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у</w:t>
      </w:r>
      <w:r>
        <w:rPr>
          <w:rFonts w:cs="Times New Roman" w:ascii="Times New Roman" w:hAnsi="Times New Roman"/>
          <w:sz w:val="28"/>
          <w:szCs w:val="28"/>
        </w:rPr>
        <w:t>лучшение качества жизни населения на основе развития экономического потенциала и повышения эффективности системы муниципального управления.</w:t>
      </w:r>
    </w:p>
    <w:p>
      <w:pPr>
        <w:pStyle w:val="ConsPlusCell"/>
        <w:ind w:firstLine="624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Задачи м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 xml:space="preserve">униципальной программы Красноярского сельского поселения: </w:t>
      </w:r>
    </w:p>
    <w:p>
      <w:pPr>
        <w:pStyle w:val="ConsPlusCell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 xml:space="preserve">–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у</w:t>
      </w:r>
      <w:r>
        <w:rPr>
          <w:rFonts w:cs="Times New Roman" w:ascii="Times New Roman" w:hAnsi="Times New Roman"/>
          <w:sz w:val="28"/>
          <w:szCs w:val="28"/>
        </w:rPr>
        <w:t xml:space="preserve">лучшение качества и доступности предоставляемых населению муниципальных услуг, повышение эффективности деятельности органов местного самоуправления, оптимизация механизмов управления,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pacing w:val="4"/>
          <w:sz w:val="28"/>
          <w:szCs w:val="28"/>
        </w:rPr>
        <w:t>– у</w:t>
      </w:r>
      <w:r>
        <w:rPr>
          <w:rFonts w:cs="Times New Roman" w:ascii="Times New Roman" w:hAnsi="Times New Roman"/>
          <w:sz w:val="28"/>
          <w:szCs w:val="28"/>
        </w:rPr>
        <w:t>лучшение потребностей населения в качественных                                                и   доступных  услугах,  создание  комфортных и безопасных условий для  проживания.</w:t>
      </w:r>
    </w:p>
    <w:p>
      <w:pPr>
        <w:pStyle w:val="3"/>
        <w:spacing w:lineRule="auto" w:line="240"/>
        <w:ind w:left="0" w:firstLine="624"/>
        <w:rPr>
          <w:szCs w:val="28"/>
        </w:rPr>
      </w:pPr>
      <w:r>
        <w:rPr>
          <w:szCs w:val="28"/>
        </w:rPr>
        <w:t> </w:t>
      </w:r>
      <w:r>
        <w:rPr>
          <w:szCs w:val="28"/>
        </w:rPr>
        <w:t xml:space="preserve">В сфере управления на территории поселения будет проводиться содействие эффективной реализации реформы местного самоуправления, обеспечение реализации прав граждан на участие в управлении, совершенствование бюджетного процесса на основе перехода к среднесрочному бюджетному планированию. </w:t>
      </w:r>
    </w:p>
    <w:p>
      <w:pPr>
        <w:pStyle w:val="ConsPlusCell"/>
        <w:jc w:val="both"/>
        <w:rPr/>
      </w:pPr>
      <w:r>
        <w:rPr>
          <w:rFonts w:cs="Times New Roman" w:ascii="Times New Roman" w:hAnsi="Times New Roman"/>
        </w:rPr>
        <w:t xml:space="preserve">            </w:t>
      </w:r>
      <w:r>
        <w:rPr>
          <w:rFonts w:cs="Times New Roman" w:ascii="Times New Roman" w:hAnsi="Times New Roman"/>
          <w:color w:val="000000"/>
          <w:spacing w:val="3"/>
          <w:sz w:val="28"/>
          <w:szCs w:val="28"/>
        </w:rPr>
        <w:t xml:space="preserve">Наполняемость местного бюджета напрямую зависит от развития производства. </w:t>
      </w:r>
      <w:r>
        <w:rPr>
          <w:rFonts w:cs="Times New Roman" w:ascii="Times New Roman" w:hAnsi="Times New Roman"/>
          <w:sz w:val="28"/>
          <w:szCs w:val="28"/>
        </w:rPr>
        <w:t>Целью органов местного самоуправления является содействие развитию сельскохозяйственного производства, развитие и поддержка личных подсобных хозяйств. В 2022 году наблюдается тенденция снижения поголовья КРС в ЛПХ, следовательно, намечается уменьшение закупа продукции личных подсобных хозяйств.</w:t>
      </w:r>
    </w:p>
    <w:p>
      <w:pPr>
        <w:pStyle w:val="3"/>
        <w:spacing w:lineRule="auto" w:line="240"/>
        <w:ind w:left="0" w:firstLine="624"/>
        <w:rPr>
          <w:szCs w:val="28"/>
        </w:rPr>
      </w:pPr>
      <w:r>
        <w:rPr>
          <w:szCs w:val="28"/>
        </w:rPr>
        <w:t>Малый бизнес в настоящее время является неотъемлемым и очень важным компонентом современной рыночной экономики. Он в значительной мере обеспечивает занятость населения, содействует смягчению социальной напряженности. К сожалению, на территории Красноярского сельского поселения он представлен только индивидуальными предпринимателями, работающими в розничной торговле и занимающимися перевозкой пассажиров.</w:t>
      </w:r>
    </w:p>
    <w:p>
      <w:pPr>
        <w:pStyle w:val="3"/>
        <w:spacing w:lineRule="auto" w:line="240"/>
        <w:ind w:left="0" w:firstLine="624"/>
        <w:rPr>
          <w:szCs w:val="28"/>
        </w:rPr>
      </w:pPr>
      <w:r>
        <w:rPr/>
        <w:t xml:space="preserve">Потребительский рынок представлен в поселении объектами торговли потребительской кооперации, индивидуальными предпринимателями. На потребительском рынке поселения в 2023 году и на плановый период 2024 и 2025 годов сохранится тенденция роста оборота розничной торговли. По отчету 2021 года оборот розничной торговли составил - 43000,00 тыс. рублей. Прогнозируемый оборот розничной торговли в 2023 году – 46000,00 рублей. К 2025 году оборот розничной торговли составит 48000,00 тыс. рублей. </w:t>
      </w:r>
    </w:p>
    <w:p>
      <w:pPr>
        <w:pStyle w:val="14"/>
        <w:rPr/>
      </w:pPr>
      <w:r>
        <w:rPr/>
        <w:t>Прогноз социально-экономического развития Красноярского сельского поселения, в сфере стимулирования малого бизнеса, предусматривает создание благоприятных условий для развития малого предпринимательства, увеличения на его основе налоговых доходов местного бюджета, повышение занятости населения поселения, увеличения объемов банковского кредитования малого бизнеса.</w:t>
      </w:r>
    </w:p>
    <w:p>
      <w:pPr>
        <w:pStyle w:val="14"/>
        <w:rPr/>
      </w:pPr>
      <w:r>
        <w:rPr/>
        <w:t>Численность населения поселения имеет тенденцию незначительного роста.</w:t>
      </w:r>
    </w:p>
    <w:sectPr>
      <w:type w:val="nextPage"/>
      <w:pgSz w:w="11906" w:h="16838"/>
      <w:pgMar w:left="1531" w:right="737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Segoe UI">
    <w:charset w:val="cc"/>
    <w:family w:val="swiss"/>
    <w:pitch w:val="variable"/>
  </w:font>
  <w:font w:name="Liberation Sans">
    <w:altName w:val="Arial"/>
    <w:charset w:val="00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 Mono" w:cs="Noto Sans Devanagari U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  <w:color w:val="0000FF"/>
    </w:rPr>
  </w:style>
  <w:style w:type="character" w:styleId="WW8Num9z1">
    <w:name w:val="WW8Num9z1"/>
    <w:qFormat/>
    <w:rPr>
      <w:rFonts w:ascii="Symbol" w:hAnsi="Symbol" w:cs="Symbol"/>
      <w:color w:val="000080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4">
    <w:name w:val="WW8Num9z4"/>
    <w:qFormat/>
    <w:rPr>
      <w:rFonts w:ascii="Courier New" w:hAnsi="Courier New" w:cs="Courier New"/>
    </w:rPr>
  </w:style>
  <w:style w:type="character" w:styleId="WW8Num9z5">
    <w:name w:val="WW8Num9z5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color w:val="0000FF"/>
    </w:rPr>
  </w:style>
  <w:style w:type="character" w:styleId="WW8Num20z1">
    <w:name w:val="WW8Num20z1"/>
    <w:qFormat/>
    <w:rPr>
      <w:rFonts w:ascii="Symbol" w:hAnsi="Symbol" w:cs="Symbol"/>
      <w:color w:val="000080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0z4">
    <w:name w:val="WW8Num20z4"/>
    <w:qFormat/>
    <w:rPr>
      <w:rFonts w:ascii="Courier New" w:hAnsi="Courier New" w:cs="Courier New"/>
    </w:rPr>
  </w:style>
  <w:style w:type="character" w:styleId="WW8Num20z5">
    <w:name w:val="WW8Num20z5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Symbol" w:hAnsi="Symbol" w:cs="Symbol"/>
      <w:color w:val="000000"/>
    </w:rPr>
  </w:style>
  <w:style w:type="character" w:styleId="WW8Num24z1">
    <w:name w:val="WW8Num24z1"/>
    <w:qFormat/>
    <w:rPr>
      <w:rFonts w:ascii="Symbol" w:hAnsi="Symbol" w:cs="Symbol"/>
      <w:color w:val="000080"/>
    </w:rPr>
  </w:style>
  <w:style w:type="character" w:styleId="WW8Num24z2">
    <w:name w:val="WW8Num24z2"/>
    <w:qFormat/>
    <w:rPr>
      <w:rFonts w:ascii="Symbol" w:hAnsi="Symbol" w:cs="Symbol"/>
      <w:color w:val="0000FF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4z4">
    <w:name w:val="WW8Num24z4"/>
    <w:qFormat/>
    <w:rPr>
      <w:rFonts w:ascii="Courier New" w:hAnsi="Courier New" w:cs="Courier New"/>
    </w:rPr>
  </w:style>
  <w:style w:type="character" w:styleId="WW8Num24z5">
    <w:name w:val="WW8Num24z5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Style14">
    <w:name w:val="Основной шрифт абзаца"/>
    <w:qFormat/>
    <w:rPr/>
  </w:style>
  <w:style w:type="character" w:styleId="Style15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 Mono" w:cs="Noto Sans Devanagari U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 UI"/>
    </w:rPr>
  </w:style>
  <w:style w:type="paragraph" w:styleId="3">
    <w:name w:val="Основной текст с отступом 3"/>
    <w:basedOn w:val="Normal"/>
    <w:qFormat/>
    <w:pPr>
      <w:widowControl/>
      <w:autoSpaceDE w:val="true"/>
      <w:spacing w:lineRule="auto" w:line="360"/>
      <w:ind w:left="1114" w:hanging="0"/>
      <w:jc w:val="both"/>
    </w:pPr>
    <w:rPr>
      <w:sz w:val="28"/>
    </w:rPr>
  </w:style>
  <w:style w:type="paragraph" w:styleId="ConsPlusCell">
    <w:name w:val="ConsPlusCell"/>
    <w:qFormat/>
    <w:pPr>
      <w:widowControl w:val="false"/>
      <w:autoSpaceDE w:val="false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14">
    <w:name w:val="Обычный + 14 пт"/>
    <w:basedOn w:val="Normal"/>
    <w:qFormat/>
    <w:pPr>
      <w:shd w:fill="FFFFFF" w:val="clear"/>
      <w:ind w:firstLine="624"/>
      <w:jc w:val="both"/>
    </w:pPr>
    <w:rPr>
      <w:spacing w:val="-1"/>
      <w:sz w:val="28"/>
      <w:szCs w:val="28"/>
    </w:rPr>
  </w:style>
  <w:style w:type="paragraph" w:styleId="Style16">
    <w:name w:val="Текст выноски"/>
    <w:basedOn w:val="Normal"/>
    <w:qFormat/>
    <w:pPr/>
    <w:rPr>
      <w:rFonts w:ascii="Segoe UI" w:hAnsi="Segoe UI" w:cs="Segoe UI"/>
      <w:sz w:val="18"/>
      <w:szCs w:val="18"/>
      <w:lang w:val="en-US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Application>LibreOffice/5.4.7.2$Linux_X86_64 LibreOffice_project/c838ef25c16710f8838b1faec480ebba495259d0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2010-12-13T08:21:00Z</dcterms:created>
  <dc:creator>111</dc:creator>
  <dc:description/>
  <dc:language>en-US</dc:language>
  <cp:lastModifiedBy>Admin</cp:lastModifiedBy>
  <cp:lastPrinted>2020-11-11T12:03:00Z</cp:lastPrinted>
  <dcterms:modified xsi:type="dcterms:W3CDTF">2022-11-02T00:05:00Z</dcterms:modified>
  <cp:revision>60</cp:revision>
  <dc:subject/>
  <dc:title>ТЕЗИСЫ ДОКЛАДА</dc:title>
</cp:coreProperties>
</file>